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C1FEE">
      <w:pPr>
        <w:rPr>
          <w:rFonts w:hint="default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 w:bidi="ar-SA"/>
        </w:rPr>
        <w:drawing>
          <wp:inline distT="0" distB="0" distL="114300" distR="114300">
            <wp:extent cx="1771650" cy="2346325"/>
            <wp:effectExtent l="0" t="0" r="0" b="15875"/>
            <wp:docPr id="4" name="图片 4" descr="王锐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王锐照片"/>
                    <pic:cNvPicPr>
                      <a:picLocks noChangeAspect="1"/>
                    </pic:cNvPicPr>
                  </pic:nvPicPr>
                  <pic:blipFill>
                    <a:blip r:embed="rId4"/>
                    <a:srcRect l="788" t="-135" r="788" b="-13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D8C4A">
      <w:pP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 w:bidi="ar-SA"/>
        </w:rPr>
      </w:pPr>
    </w:p>
    <w:p w14:paraId="54B724E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王锐，教育科学与技术学院院长，副教授，硕士生导师，教育博士在读。</w:t>
      </w:r>
    </w:p>
    <w:p w14:paraId="56207A1B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：教师教育、心理健康教育。辽宁省教育学会教师专业发展专业委员会常务理事。辽宁省县域基础教育优质均衡发展研究基地核心研究员，辽宁省心理科普基地骨干成员，鞍山市学生心理健康指导与研究基地负责人。鞍山市社科智库专家。</w:t>
      </w:r>
    </w:p>
    <w:p w14:paraId="0B9261A2">
      <w:r>
        <w:rPr>
          <w:rFonts w:hint="eastAsia"/>
          <w:sz w:val="28"/>
          <w:szCs w:val="36"/>
          <w:lang w:val="en-US" w:eastAsia="zh-CN"/>
        </w:rPr>
        <w:t>主持省部级科研教改项目9项，参与国家级、省级各类科研项目10余项；在《现代教育管理》等发表CSSCI、SSCI、SCI等国内外各类期刊论文10余篇。获批辽宁省高校课程思政精品课1门，2021年辽宁省高校心理健康教育教师教学竞赛二等奖。2025年辽宁省教育教学信息化交流比赛高等学校组“人工智能+”教育案例一等奖。指导学生参加“互联网+”创新创业比赛获得铜奖2次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D6B2B13"/>
    <w:rsid w:val="26A2670E"/>
    <w:rsid w:val="7092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DD5E20C67AC14E1AB93381EA414CBBA8_13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